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C85C634" w14:textId="77777777" w:rsidR="00F9755A" w:rsidRDefault="00000000">
      <w:pPr>
        <w:rPr>
          <w:rFonts w:ascii="Cambria" w:eastAsia="Cambria" w:hAnsi="Cambria" w:cs="Cambria"/>
          <w:b/>
          <w:sz w:val="32"/>
          <w:szCs w:val="32"/>
          <w:highlight w:val="white"/>
        </w:rPr>
      </w:pPr>
      <w:r>
        <w:rPr>
          <w:rFonts w:ascii="Cambria" w:eastAsia="Cambria" w:hAnsi="Cambria" w:cs="Cambria"/>
          <w:b/>
          <w:color w:val="000000"/>
          <w:sz w:val="32"/>
          <w:szCs w:val="32"/>
          <w:highlight w:val="white"/>
        </w:rPr>
        <w:t xml:space="preserve">                                      Dashboard Design</w:t>
      </w:r>
    </w:p>
    <w:p w14:paraId="231173F0" w14:textId="77777777" w:rsidR="00F9755A" w:rsidRDefault="00F9755A">
      <w:pPr>
        <w:widowControl w:val="0"/>
        <w:spacing w:before="39" w:after="0" w:line="240" w:lineRule="auto"/>
        <w:ind w:left="2701"/>
        <w:rPr>
          <w:b/>
          <w:sz w:val="28"/>
          <w:szCs w:val="28"/>
        </w:rPr>
      </w:pPr>
    </w:p>
    <w:tbl>
      <w:tblPr>
        <w:tblStyle w:val="a"/>
        <w:tblW w:w="901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07"/>
        <w:gridCol w:w="4511"/>
      </w:tblGrid>
      <w:tr w:rsidR="00F9755A" w14:paraId="28C36E11" w14:textId="77777777" w:rsidTr="00EF6CE0">
        <w:trPr>
          <w:trHeight w:val="278"/>
        </w:trPr>
        <w:tc>
          <w:tcPr>
            <w:tcW w:w="4507" w:type="dxa"/>
            <w:shd w:val="clear" w:color="auto" w:fill="auto"/>
            <w:tcMar>
              <w:top w:w="100" w:type="dxa"/>
              <w:left w:w="100" w:type="dxa"/>
              <w:bottom w:w="100" w:type="dxa"/>
              <w:right w:w="100" w:type="dxa"/>
            </w:tcMar>
          </w:tcPr>
          <w:p w14:paraId="6F9976C1" w14:textId="77777777" w:rsidR="00F9755A" w:rsidRDefault="00000000">
            <w:pPr>
              <w:widowControl w:val="0"/>
              <w:spacing w:after="0" w:line="240" w:lineRule="auto"/>
              <w:ind w:left="131"/>
            </w:pPr>
            <w:r>
              <w:t xml:space="preserve">Date </w:t>
            </w:r>
          </w:p>
        </w:tc>
        <w:tc>
          <w:tcPr>
            <w:tcW w:w="4511" w:type="dxa"/>
            <w:shd w:val="clear" w:color="auto" w:fill="auto"/>
            <w:tcMar>
              <w:top w:w="100" w:type="dxa"/>
              <w:left w:w="100" w:type="dxa"/>
              <w:bottom w:w="100" w:type="dxa"/>
              <w:right w:w="100" w:type="dxa"/>
            </w:tcMar>
          </w:tcPr>
          <w:p w14:paraId="6D6DCFA2" w14:textId="38F772DE" w:rsidR="00F9755A" w:rsidRDefault="00000000">
            <w:pPr>
              <w:widowControl w:val="0"/>
              <w:spacing w:after="0" w:line="240" w:lineRule="auto"/>
              <w:ind w:left="131"/>
            </w:pPr>
            <w:r>
              <w:t>2</w:t>
            </w:r>
            <w:r w:rsidR="00EF6CE0">
              <w:t>0</w:t>
            </w:r>
            <w:r w:rsidR="00933D90">
              <w:t xml:space="preserve"> </w:t>
            </w:r>
            <w:r w:rsidR="00EF6CE0">
              <w:t>June</w:t>
            </w:r>
            <w:r>
              <w:t xml:space="preserve"> 202</w:t>
            </w:r>
            <w:r w:rsidR="00EF6CE0">
              <w:t>5</w:t>
            </w:r>
          </w:p>
        </w:tc>
      </w:tr>
      <w:tr w:rsidR="00F9755A" w14:paraId="6D67DDF3" w14:textId="77777777" w:rsidTr="00EF6CE0">
        <w:trPr>
          <w:trHeight w:val="278"/>
        </w:trPr>
        <w:tc>
          <w:tcPr>
            <w:tcW w:w="4507" w:type="dxa"/>
            <w:shd w:val="clear" w:color="auto" w:fill="auto"/>
            <w:tcMar>
              <w:top w:w="100" w:type="dxa"/>
              <w:left w:w="100" w:type="dxa"/>
              <w:bottom w:w="100" w:type="dxa"/>
              <w:right w:w="100" w:type="dxa"/>
            </w:tcMar>
          </w:tcPr>
          <w:p w14:paraId="05920B09" w14:textId="77777777" w:rsidR="00F9755A" w:rsidRDefault="00000000">
            <w:pPr>
              <w:widowControl w:val="0"/>
              <w:spacing w:after="0" w:line="240" w:lineRule="auto"/>
              <w:ind w:left="131"/>
            </w:pPr>
            <w:r>
              <w:t xml:space="preserve">Project Name </w:t>
            </w:r>
          </w:p>
        </w:tc>
        <w:tc>
          <w:tcPr>
            <w:tcW w:w="4511" w:type="dxa"/>
            <w:shd w:val="clear" w:color="auto" w:fill="auto"/>
            <w:tcMar>
              <w:top w:w="100" w:type="dxa"/>
              <w:left w:w="100" w:type="dxa"/>
              <w:bottom w:w="100" w:type="dxa"/>
              <w:right w:w="100" w:type="dxa"/>
            </w:tcMar>
          </w:tcPr>
          <w:p w14:paraId="488EFA97" w14:textId="77777777" w:rsidR="00EF6CE0" w:rsidRDefault="00EF6CE0" w:rsidP="00EF6CE0">
            <w:pPr>
              <w:pBdr>
                <w:top w:val="nil"/>
                <w:left w:val="nil"/>
                <w:bottom w:val="nil"/>
                <w:right w:val="nil"/>
                <w:between w:val="nil"/>
              </w:pBdr>
              <w:rPr>
                <w:rFonts w:ascii="Times New Roman" w:eastAsia="Times New Roman" w:hAnsi="Times New Roman" w:cs="Times New Roman"/>
                <w:color w:val="000000"/>
                <w:sz w:val="24"/>
                <w:szCs w:val="24"/>
              </w:rPr>
            </w:pPr>
            <w:r w:rsidRPr="0042361A">
              <w:rPr>
                <w:rFonts w:ascii="Times New Roman" w:eastAsia="Times New Roman" w:hAnsi="Times New Roman" w:cs="Times New Roman"/>
                <w:color w:val="000000"/>
                <w:sz w:val="24"/>
                <w:szCs w:val="24"/>
              </w:rPr>
              <w:t>Global Energy Trends: A Comprehensive </w:t>
            </w:r>
          </w:p>
          <w:p w14:paraId="30304DE5" w14:textId="77777777" w:rsidR="00EF6CE0" w:rsidRDefault="00EF6CE0" w:rsidP="00EF6CE0">
            <w:pPr>
              <w:pBdr>
                <w:top w:val="nil"/>
                <w:left w:val="nil"/>
                <w:bottom w:val="nil"/>
                <w:right w:val="nil"/>
                <w:between w:val="nil"/>
              </w:pBdr>
              <w:rPr>
                <w:rFonts w:ascii="Times New Roman" w:eastAsia="Times New Roman" w:hAnsi="Times New Roman" w:cs="Times New Roman"/>
                <w:color w:val="000000"/>
                <w:sz w:val="24"/>
                <w:szCs w:val="24"/>
              </w:rPr>
            </w:pPr>
            <w:r w:rsidRPr="0042361A">
              <w:rPr>
                <w:rFonts w:ascii="Times New Roman" w:eastAsia="Times New Roman" w:hAnsi="Times New Roman" w:cs="Times New Roman"/>
                <w:color w:val="000000"/>
                <w:sz w:val="24"/>
                <w:szCs w:val="24"/>
              </w:rPr>
              <w:t>Analysis of Key Regions and Generation </w:t>
            </w:r>
          </w:p>
          <w:p w14:paraId="4EBE163C" w14:textId="48291844" w:rsidR="00F9755A" w:rsidRDefault="00EF6CE0" w:rsidP="00EF6CE0">
            <w:pPr>
              <w:widowControl w:val="0"/>
              <w:spacing w:after="0" w:line="240" w:lineRule="auto"/>
              <w:ind w:left="131"/>
            </w:pPr>
            <w:r w:rsidRPr="0042361A">
              <w:rPr>
                <w:rFonts w:ascii="Times New Roman" w:eastAsia="Times New Roman" w:hAnsi="Times New Roman" w:cs="Times New Roman"/>
                <w:color w:val="000000"/>
                <w:sz w:val="24"/>
                <w:szCs w:val="24"/>
              </w:rPr>
              <w:t>Modes using Power BI</w:t>
            </w:r>
          </w:p>
        </w:tc>
      </w:tr>
      <w:tr w:rsidR="00F9755A" w14:paraId="3F8E6629" w14:textId="77777777" w:rsidTr="00EF6CE0">
        <w:trPr>
          <w:trHeight w:val="278"/>
        </w:trPr>
        <w:tc>
          <w:tcPr>
            <w:tcW w:w="4507" w:type="dxa"/>
            <w:shd w:val="clear" w:color="auto" w:fill="auto"/>
            <w:tcMar>
              <w:top w:w="100" w:type="dxa"/>
              <w:left w:w="100" w:type="dxa"/>
              <w:bottom w:w="100" w:type="dxa"/>
              <w:right w:w="100" w:type="dxa"/>
            </w:tcMar>
          </w:tcPr>
          <w:p w14:paraId="44BAB188" w14:textId="77777777" w:rsidR="00F9755A" w:rsidRDefault="00000000">
            <w:pPr>
              <w:widowControl w:val="0"/>
              <w:spacing w:after="0" w:line="240" w:lineRule="auto"/>
              <w:ind w:left="131"/>
            </w:pPr>
            <w:r>
              <w:t xml:space="preserve">Maximum Marks </w:t>
            </w:r>
          </w:p>
        </w:tc>
        <w:tc>
          <w:tcPr>
            <w:tcW w:w="4511" w:type="dxa"/>
            <w:shd w:val="clear" w:color="auto" w:fill="auto"/>
            <w:tcMar>
              <w:top w:w="100" w:type="dxa"/>
              <w:left w:w="100" w:type="dxa"/>
              <w:bottom w:w="100" w:type="dxa"/>
              <w:right w:w="100" w:type="dxa"/>
            </w:tcMar>
          </w:tcPr>
          <w:p w14:paraId="49398ACB" w14:textId="177AF182" w:rsidR="00F9755A" w:rsidRDefault="0017660E">
            <w:pPr>
              <w:widowControl w:val="0"/>
              <w:spacing w:after="0" w:line="240" w:lineRule="auto"/>
              <w:ind w:left="125"/>
            </w:pPr>
            <w:r>
              <w:t>5  Marks</w:t>
            </w:r>
          </w:p>
        </w:tc>
      </w:tr>
    </w:tbl>
    <w:p w14:paraId="54F2199F" w14:textId="77777777" w:rsidR="00F9755A" w:rsidRDefault="00F9755A">
      <w:pPr>
        <w:widowControl w:val="0"/>
        <w:spacing w:after="0" w:line="276" w:lineRule="auto"/>
        <w:rPr>
          <w:rFonts w:ascii="Cambria" w:eastAsia="Cambria" w:hAnsi="Cambria" w:cs="Cambria"/>
          <w:b/>
          <w:sz w:val="32"/>
          <w:szCs w:val="32"/>
          <w:highlight w:val="white"/>
        </w:rPr>
      </w:pPr>
    </w:p>
    <w:p w14:paraId="66CDC3B9" w14:textId="0ECE83F9" w:rsidR="00F9755A" w:rsidRDefault="00000000">
      <w:pPr>
        <w:rPr>
          <w:rFonts w:ascii="Cambria" w:eastAsia="Cambria" w:hAnsi="Cambria" w:cs="Cambria"/>
          <w:color w:val="000000"/>
          <w:sz w:val="24"/>
          <w:szCs w:val="24"/>
          <w:highlight w:val="white"/>
        </w:rPr>
      </w:pPr>
      <w:r>
        <w:rPr>
          <w:rFonts w:ascii="Cambria" w:eastAsia="Cambria" w:hAnsi="Cambria" w:cs="Cambria"/>
          <w:color w:val="000000"/>
          <w:sz w:val="24"/>
          <w:szCs w:val="24"/>
          <w:highlight w:val="white"/>
        </w:rPr>
        <w:t>Creating an effective dashboard involves thoughtful design to ensure that the presented information is clear, relevant, and easily understandable for the intended audience. Here are some key principles and best practices for dashboard design</w:t>
      </w:r>
      <w:r w:rsidR="00EF6CE0">
        <w:rPr>
          <w:rFonts w:ascii="Cambria" w:eastAsia="Cambria" w:hAnsi="Cambria" w:cs="Cambria"/>
          <w:color w:val="000000"/>
          <w:sz w:val="24"/>
          <w:szCs w:val="24"/>
          <w:highlight w:val="white"/>
        </w:rPr>
        <w:t>.</w:t>
      </w:r>
    </w:p>
    <w:p w14:paraId="30E4D40C" w14:textId="77777777" w:rsidR="00EF6CE0" w:rsidRDefault="00EF6CE0">
      <w:pPr>
        <w:rPr>
          <w:rFonts w:ascii="Cambria" w:eastAsia="Cambria" w:hAnsi="Cambria" w:cs="Cambria"/>
          <w:color w:val="000000"/>
          <w:sz w:val="24"/>
          <w:szCs w:val="24"/>
          <w:highlight w:val="white"/>
        </w:rPr>
      </w:pPr>
    </w:p>
    <w:p w14:paraId="3D110FD7" w14:textId="79A3FE26" w:rsidR="00EF6CE0" w:rsidRDefault="00EF6CE0">
      <w:pPr>
        <w:rPr>
          <w:rFonts w:ascii="Cambria" w:eastAsia="Cambria" w:hAnsi="Cambria" w:cs="Cambria"/>
          <w:b/>
          <w:bCs/>
          <w:color w:val="000000"/>
          <w:sz w:val="24"/>
          <w:szCs w:val="24"/>
          <w:highlight w:val="white"/>
        </w:rPr>
      </w:pPr>
      <w:r w:rsidRPr="00EF6CE0">
        <w:rPr>
          <w:rFonts w:ascii="Cambria" w:eastAsia="Cambria" w:hAnsi="Cambria" w:cs="Cambria"/>
          <w:b/>
          <w:bCs/>
          <w:color w:val="000000"/>
          <w:sz w:val="24"/>
          <w:szCs w:val="24"/>
          <w:highlight w:val="white"/>
        </w:rPr>
        <w:t xml:space="preserve">Dashboard </w:t>
      </w:r>
      <w:r>
        <w:rPr>
          <w:rFonts w:ascii="Cambria" w:eastAsia="Cambria" w:hAnsi="Cambria" w:cs="Cambria"/>
          <w:b/>
          <w:bCs/>
          <w:color w:val="000000"/>
          <w:sz w:val="24"/>
          <w:szCs w:val="24"/>
          <w:highlight w:val="white"/>
        </w:rPr>
        <w:t>1</w:t>
      </w:r>
      <w:r w:rsidRPr="00EF6CE0">
        <w:rPr>
          <w:rFonts w:ascii="Cambria" w:eastAsia="Cambria" w:hAnsi="Cambria" w:cs="Cambria"/>
          <w:b/>
          <w:bCs/>
          <w:color w:val="000000"/>
          <w:sz w:val="24"/>
          <w:szCs w:val="24"/>
          <w:highlight w:val="white"/>
        </w:rPr>
        <w:t>: Global Energy Trends Through Time</w:t>
      </w:r>
    </w:p>
    <w:p w14:paraId="167550BF" w14:textId="55A7A22E" w:rsidR="00EF6CE0" w:rsidRDefault="00EF6CE0" w:rsidP="00EF6CE0">
      <w:pPr>
        <w:rPr>
          <w:rFonts w:ascii="Cambria" w:eastAsia="Cambria" w:hAnsi="Cambria" w:cs="Cambria"/>
          <w:color w:val="000000"/>
          <w:sz w:val="24"/>
          <w:szCs w:val="24"/>
          <w:highlight w:val="white"/>
        </w:rPr>
      </w:pPr>
      <w:r>
        <w:rPr>
          <w:rFonts w:ascii="Cambria" w:eastAsia="Cambria" w:hAnsi="Cambria" w:cs="Cambria"/>
          <w:noProof/>
          <w:color w:val="000000"/>
          <w:sz w:val="24"/>
          <w:szCs w:val="24"/>
        </w:rPr>
        <w:drawing>
          <wp:inline distT="0" distB="0" distL="0" distR="0" wp14:anchorId="6608F580" wp14:editId="7EC03275">
            <wp:extent cx="5731510" cy="3114040"/>
            <wp:effectExtent l="0" t="0" r="2540" b="0"/>
            <wp:docPr id="364800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800582" name="Picture 364800582"/>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31510" cy="3114040"/>
                    </a:xfrm>
                    <a:prstGeom prst="rect">
                      <a:avLst/>
                    </a:prstGeom>
                  </pic:spPr>
                </pic:pic>
              </a:graphicData>
            </a:graphic>
          </wp:inline>
        </w:drawing>
      </w:r>
    </w:p>
    <w:p w14:paraId="2D66E960" w14:textId="77777777" w:rsidR="00EF6CE0" w:rsidRDefault="00EF6CE0" w:rsidP="00EF6CE0">
      <w:pPr>
        <w:rPr>
          <w:rFonts w:ascii="Cambria" w:eastAsia="Cambria" w:hAnsi="Cambria" w:cs="Cambria"/>
          <w:color w:val="000000"/>
          <w:sz w:val="24"/>
          <w:szCs w:val="24"/>
          <w:highlight w:val="white"/>
        </w:rPr>
      </w:pPr>
    </w:p>
    <w:p w14:paraId="6A30B25E" w14:textId="1C7F5272" w:rsidR="00EF6CE0" w:rsidRPr="00EF6CE0" w:rsidRDefault="00EF6CE0" w:rsidP="00EF6CE0">
      <w:pPr>
        <w:pStyle w:val="ListParagraph"/>
        <w:numPr>
          <w:ilvl w:val="0"/>
          <w:numId w:val="5"/>
        </w:numPr>
        <w:ind w:left="284" w:hanging="218"/>
        <w:jc w:val="both"/>
        <w:rPr>
          <w:rFonts w:ascii="Cambria" w:eastAsia="Arial" w:hAnsi="Cambria" w:cs="Times New Roman"/>
          <w:color w:val="333333"/>
          <w:sz w:val="24"/>
          <w:szCs w:val="24"/>
        </w:rPr>
      </w:pPr>
      <w:r w:rsidRPr="002A4A54">
        <w:rPr>
          <w:rFonts w:ascii="Cambria" w:eastAsia="Arial" w:hAnsi="Cambria" w:cs="Times New Roman"/>
          <w:b/>
          <w:bCs/>
          <w:color w:val="333333"/>
          <w:sz w:val="24"/>
          <w:szCs w:val="24"/>
        </w:rPr>
        <w:t>Country-Wise Average Consumption</w:t>
      </w:r>
      <w:r w:rsidRPr="00EF6CE0">
        <w:rPr>
          <w:rFonts w:ascii="Cambria" w:eastAsia="Arial" w:hAnsi="Cambria" w:cs="Times New Roman"/>
          <w:color w:val="333333"/>
          <w:sz w:val="24"/>
          <w:szCs w:val="24"/>
        </w:rPr>
        <w:t>: The average energy consumption per country between 1990–2020 is 7.01K TWh.</w:t>
      </w:r>
    </w:p>
    <w:p w14:paraId="6937ACB8" w14:textId="4778BED8" w:rsidR="00EF6CE0" w:rsidRPr="00EF6CE0" w:rsidRDefault="00EF6CE0" w:rsidP="00EF6CE0">
      <w:pPr>
        <w:pStyle w:val="ListParagraph"/>
        <w:numPr>
          <w:ilvl w:val="0"/>
          <w:numId w:val="5"/>
        </w:numPr>
        <w:ind w:left="284" w:hanging="218"/>
        <w:jc w:val="both"/>
        <w:rPr>
          <w:rFonts w:ascii="Cambria" w:eastAsia="Arial" w:hAnsi="Cambria" w:cs="Times New Roman"/>
          <w:color w:val="333333"/>
          <w:sz w:val="24"/>
          <w:szCs w:val="24"/>
        </w:rPr>
      </w:pPr>
      <w:r w:rsidRPr="002A4A54">
        <w:rPr>
          <w:rFonts w:ascii="Cambria" w:eastAsia="Arial" w:hAnsi="Cambria" w:cs="Times New Roman"/>
          <w:b/>
          <w:bCs/>
          <w:color w:val="333333"/>
          <w:sz w:val="24"/>
          <w:szCs w:val="24"/>
        </w:rPr>
        <w:t>Continent-Wise Trends</w:t>
      </w:r>
      <w:r w:rsidRPr="00EF6CE0">
        <w:rPr>
          <w:rFonts w:ascii="Cambria" w:eastAsia="Arial" w:hAnsi="Cambria" w:cs="Times New Roman"/>
          <w:color w:val="333333"/>
          <w:sz w:val="24"/>
          <w:szCs w:val="24"/>
        </w:rPr>
        <w:t>: Continents show an average consumption of 1.02M TWh, with Asia and North America being top consumers.</w:t>
      </w:r>
    </w:p>
    <w:p w14:paraId="17E9F041" w14:textId="1004EFBA" w:rsidR="00EF6CE0" w:rsidRPr="00EF6CE0" w:rsidRDefault="00EF6CE0" w:rsidP="00EF6CE0">
      <w:pPr>
        <w:pStyle w:val="ListParagraph"/>
        <w:numPr>
          <w:ilvl w:val="0"/>
          <w:numId w:val="5"/>
        </w:numPr>
        <w:ind w:left="284" w:hanging="218"/>
        <w:jc w:val="both"/>
        <w:rPr>
          <w:rFonts w:ascii="Cambria" w:eastAsia="Arial" w:hAnsi="Cambria" w:cs="Times New Roman"/>
          <w:color w:val="333333"/>
          <w:sz w:val="24"/>
          <w:szCs w:val="24"/>
        </w:rPr>
      </w:pPr>
      <w:r w:rsidRPr="002A4A54">
        <w:rPr>
          <w:rFonts w:ascii="Cambria" w:eastAsia="Arial" w:hAnsi="Cambria" w:cs="Times New Roman"/>
          <w:b/>
          <w:bCs/>
          <w:color w:val="333333"/>
          <w:sz w:val="24"/>
          <w:szCs w:val="24"/>
        </w:rPr>
        <w:t>Top Energy Consumers</w:t>
      </w:r>
      <w:r w:rsidRPr="00EF6CE0">
        <w:rPr>
          <w:rFonts w:ascii="Cambria" w:eastAsia="Arial" w:hAnsi="Cambria" w:cs="Times New Roman"/>
          <w:color w:val="333333"/>
          <w:sz w:val="24"/>
          <w:szCs w:val="24"/>
        </w:rPr>
        <w:t>: The United States, China, and India show consistently high and increasing energy usage trends.</w:t>
      </w:r>
    </w:p>
    <w:p w14:paraId="04B2A630" w14:textId="38D71A73" w:rsidR="00EF6CE0" w:rsidRPr="00EF6CE0" w:rsidRDefault="00EF6CE0" w:rsidP="00EF6CE0">
      <w:pPr>
        <w:pStyle w:val="ListParagraph"/>
        <w:numPr>
          <w:ilvl w:val="0"/>
          <w:numId w:val="5"/>
        </w:numPr>
        <w:ind w:left="284" w:hanging="218"/>
        <w:jc w:val="both"/>
        <w:rPr>
          <w:rFonts w:ascii="Cambria" w:eastAsia="Arial" w:hAnsi="Cambria" w:cs="Times New Roman"/>
          <w:color w:val="333333"/>
          <w:sz w:val="24"/>
          <w:szCs w:val="24"/>
        </w:rPr>
      </w:pPr>
      <w:r w:rsidRPr="002A4A54">
        <w:rPr>
          <w:rFonts w:ascii="Cambria" w:eastAsia="Arial" w:hAnsi="Cambria" w:cs="Times New Roman"/>
          <w:b/>
          <w:bCs/>
          <w:color w:val="333333"/>
          <w:sz w:val="24"/>
          <w:szCs w:val="24"/>
        </w:rPr>
        <w:t>China's Surge</w:t>
      </w:r>
      <w:r w:rsidRPr="00EF6CE0">
        <w:rPr>
          <w:rFonts w:ascii="Cambria" w:eastAsia="Arial" w:hAnsi="Cambria" w:cs="Times New Roman"/>
          <w:color w:val="333333"/>
          <w:sz w:val="24"/>
          <w:szCs w:val="24"/>
        </w:rPr>
        <w:t>: China’s consumption surpassed the US post-2008, showing rapid industrialization and energy demand.</w:t>
      </w:r>
    </w:p>
    <w:p w14:paraId="549E383B" w14:textId="79F38238" w:rsidR="00EF6CE0" w:rsidRPr="00EF6CE0" w:rsidRDefault="00EF6CE0" w:rsidP="00EF6CE0">
      <w:pPr>
        <w:pStyle w:val="ListParagraph"/>
        <w:numPr>
          <w:ilvl w:val="0"/>
          <w:numId w:val="5"/>
        </w:numPr>
        <w:ind w:left="284" w:hanging="218"/>
        <w:jc w:val="both"/>
        <w:rPr>
          <w:rFonts w:ascii="Cambria" w:eastAsia="Arial" w:hAnsi="Cambria" w:cs="Arial"/>
          <w:color w:val="333333"/>
          <w:sz w:val="20"/>
          <w:szCs w:val="20"/>
        </w:rPr>
      </w:pPr>
      <w:r w:rsidRPr="002A4A54">
        <w:rPr>
          <w:rFonts w:ascii="Cambria" w:eastAsia="Arial" w:hAnsi="Cambria" w:cs="Times New Roman"/>
          <w:b/>
          <w:bCs/>
          <w:color w:val="333333"/>
          <w:sz w:val="24"/>
          <w:szCs w:val="24"/>
        </w:rPr>
        <w:lastRenderedPageBreak/>
        <w:t>OECD vs BRICS</w:t>
      </w:r>
      <w:r w:rsidRPr="00EF6CE0">
        <w:rPr>
          <w:rFonts w:ascii="Cambria" w:eastAsia="Arial" w:hAnsi="Cambria" w:cs="Times New Roman"/>
          <w:color w:val="333333"/>
          <w:sz w:val="24"/>
          <w:szCs w:val="24"/>
        </w:rPr>
        <w:t>: The OECD countries show stable energy consumption, while BRICS countries show steep growth, particularly post-2000.</w:t>
      </w:r>
    </w:p>
    <w:p w14:paraId="2F4AFFB4" w14:textId="1CF8C5F2" w:rsidR="00293C5D" w:rsidRDefault="00293C5D" w:rsidP="00EF6CE0">
      <w:pPr>
        <w:rPr>
          <w:rFonts w:ascii="Arial" w:eastAsia="Arial" w:hAnsi="Arial" w:cs="Arial"/>
          <w:color w:val="333333"/>
          <w:sz w:val="20"/>
          <w:szCs w:val="20"/>
        </w:rPr>
      </w:pPr>
    </w:p>
    <w:p w14:paraId="42BF939E" w14:textId="1009B388" w:rsidR="00EF6CE0" w:rsidRPr="00EF6CE0" w:rsidRDefault="00EF6CE0" w:rsidP="00EF6CE0">
      <w:pPr>
        <w:rPr>
          <w:rFonts w:ascii="Cambria" w:eastAsia="Arial" w:hAnsi="Cambria" w:cs="Times New Roman"/>
          <w:b/>
          <w:bCs/>
          <w:sz w:val="24"/>
          <w:szCs w:val="24"/>
        </w:rPr>
      </w:pPr>
      <w:r w:rsidRPr="00EF6CE0">
        <w:rPr>
          <w:rFonts w:ascii="Cambria" w:eastAsia="Arial" w:hAnsi="Cambria" w:cs="Times New Roman"/>
          <w:b/>
          <w:bCs/>
          <w:sz w:val="24"/>
          <w:szCs w:val="24"/>
        </w:rPr>
        <w:t>Dashboard 2: Energy Sources</w:t>
      </w:r>
    </w:p>
    <w:p w14:paraId="43D9FBFE" w14:textId="40BDECDF" w:rsidR="00EF6CE0" w:rsidRDefault="00EF6CE0" w:rsidP="00EF6CE0">
      <w:pPr>
        <w:rPr>
          <w:rFonts w:ascii="Cambria" w:eastAsia="Arial" w:hAnsi="Cambria" w:cs="Times New Roman"/>
          <w:sz w:val="24"/>
          <w:szCs w:val="24"/>
        </w:rPr>
      </w:pPr>
      <w:r>
        <w:rPr>
          <w:rFonts w:ascii="Cambria" w:eastAsia="Arial" w:hAnsi="Cambria" w:cs="Times New Roman"/>
          <w:noProof/>
          <w:sz w:val="24"/>
          <w:szCs w:val="24"/>
        </w:rPr>
        <w:drawing>
          <wp:inline distT="0" distB="0" distL="0" distR="0" wp14:anchorId="5134FF0D" wp14:editId="2BFF5DDA">
            <wp:extent cx="5731510" cy="3128645"/>
            <wp:effectExtent l="0" t="0" r="2540" b="0"/>
            <wp:docPr id="9946698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669860" name="Picture 994669860"/>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3128645"/>
                    </a:xfrm>
                    <a:prstGeom prst="rect">
                      <a:avLst/>
                    </a:prstGeom>
                  </pic:spPr>
                </pic:pic>
              </a:graphicData>
            </a:graphic>
          </wp:inline>
        </w:drawing>
      </w:r>
    </w:p>
    <w:p w14:paraId="5A0CC0D8" w14:textId="77777777" w:rsidR="00EF6CE0" w:rsidRDefault="00EF6CE0" w:rsidP="00EF6CE0">
      <w:pPr>
        <w:rPr>
          <w:rFonts w:ascii="Cambria" w:eastAsia="Arial" w:hAnsi="Cambria" w:cs="Times New Roman"/>
          <w:sz w:val="24"/>
          <w:szCs w:val="24"/>
        </w:rPr>
      </w:pPr>
    </w:p>
    <w:p w14:paraId="465E2A00" w14:textId="2A16370C" w:rsidR="00EF6CE0" w:rsidRPr="00EF6CE0" w:rsidRDefault="00EF6CE0" w:rsidP="00EF6CE0">
      <w:pPr>
        <w:pStyle w:val="ListParagraph"/>
        <w:numPr>
          <w:ilvl w:val="0"/>
          <w:numId w:val="5"/>
        </w:numPr>
        <w:ind w:left="426"/>
        <w:jc w:val="both"/>
        <w:rPr>
          <w:rFonts w:ascii="Cambria" w:eastAsia="Arial" w:hAnsi="Cambria" w:cs="Times New Roman"/>
          <w:sz w:val="24"/>
          <w:szCs w:val="24"/>
        </w:rPr>
      </w:pPr>
      <w:r w:rsidRPr="002A4A54">
        <w:rPr>
          <w:rFonts w:ascii="Cambria" w:eastAsia="Arial" w:hAnsi="Cambria" w:cs="Times New Roman"/>
          <w:b/>
          <w:bCs/>
          <w:sz w:val="24"/>
          <w:szCs w:val="24"/>
        </w:rPr>
        <w:t>Total Non-Renewable Contribution</w:t>
      </w:r>
      <w:r w:rsidRPr="00EF6CE0">
        <w:rPr>
          <w:rFonts w:ascii="Cambria" w:eastAsia="Arial" w:hAnsi="Cambria" w:cs="Times New Roman"/>
          <w:sz w:val="24"/>
          <w:szCs w:val="24"/>
        </w:rPr>
        <w:t>: Non-renewable sources have a total contribution of 45.28K TWh, showing a heavy global dependency.</w:t>
      </w:r>
    </w:p>
    <w:p w14:paraId="257E2129" w14:textId="37076F48" w:rsidR="00EF6CE0" w:rsidRPr="00EF6CE0" w:rsidRDefault="00EF6CE0" w:rsidP="00EF6CE0">
      <w:pPr>
        <w:pStyle w:val="ListParagraph"/>
        <w:numPr>
          <w:ilvl w:val="0"/>
          <w:numId w:val="5"/>
        </w:numPr>
        <w:ind w:left="426"/>
        <w:jc w:val="both"/>
        <w:rPr>
          <w:rFonts w:ascii="Cambria" w:eastAsia="Arial" w:hAnsi="Cambria" w:cs="Times New Roman"/>
          <w:sz w:val="24"/>
          <w:szCs w:val="24"/>
        </w:rPr>
      </w:pPr>
      <w:r w:rsidRPr="002A4A54">
        <w:rPr>
          <w:rFonts w:ascii="Cambria" w:eastAsia="Arial" w:hAnsi="Cambria" w:cs="Times New Roman"/>
          <w:b/>
          <w:bCs/>
          <w:sz w:val="24"/>
          <w:szCs w:val="24"/>
        </w:rPr>
        <w:t>Renewable Generation Growth</w:t>
      </w:r>
      <w:r w:rsidRPr="00EF6CE0">
        <w:rPr>
          <w:rFonts w:ascii="Cambria" w:eastAsia="Arial" w:hAnsi="Cambria" w:cs="Times New Roman"/>
          <w:sz w:val="24"/>
          <w:szCs w:val="24"/>
        </w:rPr>
        <w:t>: From 1990 to 2017, renewable power generation has shown consistent growth, particularly in Hydro and Biofuel sectors.</w:t>
      </w:r>
    </w:p>
    <w:p w14:paraId="72CAEF98" w14:textId="1C77E97B" w:rsidR="00EF6CE0" w:rsidRPr="00EF6CE0" w:rsidRDefault="00EF6CE0" w:rsidP="00EF6CE0">
      <w:pPr>
        <w:pStyle w:val="ListParagraph"/>
        <w:numPr>
          <w:ilvl w:val="0"/>
          <w:numId w:val="5"/>
        </w:numPr>
        <w:ind w:left="426"/>
        <w:jc w:val="both"/>
        <w:rPr>
          <w:rFonts w:ascii="Cambria" w:eastAsia="Arial" w:hAnsi="Cambria" w:cs="Times New Roman"/>
          <w:sz w:val="24"/>
          <w:szCs w:val="24"/>
        </w:rPr>
      </w:pPr>
      <w:r w:rsidRPr="002A4A54">
        <w:rPr>
          <w:rFonts w:ascii="Cambria" w:eastAsia="Arial" w:hAnsi="Cambria" w:cs="Times New Roman"/>
          <w:b/>
          <w:bCs/>
          <w:sz w:val="24"/>
          <w:szCs w:val="24"/>
        </w:rPr>
        <w:t>Hydropower Leads Renewables</w:t>
      </w:r>
      <w:r w:rsidRPr="00EF6CE0">
        <w:rPr>
          <w:rFonts w:ascii="Cambria" w:eastAsia="Arial" w:hAnsi="Cambria" w:cs="Times New Roman"/>
          <w:sz w:val="24"/>
          <w:szCs w:val="24"/>
        </w:rPr>
        <w:t>: Hydro contributes 42.95% of total renewable energy, the largest share in the renewable pie chart.</w:t>
      </w:r>
    </w:p>
    <w:p w14:paraId="6E5681EB" w14:textId="79C24E33" w:rsidR="00EF6CE0" w:rsidRPr="00EF6CE0" w:rsidRDefault="00EF6CE0" w:rsidP="00EF6CE0">
      <w:pPr>
        <w:pStyle w:val="ListParagraph"/>
        <w:numPr>
          <w:ilvl w:val="0"/>
          <w:numId w:val="5"/>
        </w:numPr>
        <w:ind w:left="426"/>
        <w:jc w:val="both"/>
        <w:rPr>
          <w:rFonts w:ascii="Cambria" w:eastAsia="Arial" w:hAnsi="Cambria" w:cs="Times New Roman"/>
          <w:sz w:val="24"/>
          <w:szCs w:val="24"/>
        </w:rPr>
      </w:pPr>
      <w:r w:rsidRPr="002A4A54">
        <w:rPr>
          <w:rFonts w:ascii="Cambria" w:eastAsia="Arial" w:hAnsi="Cambria" w:cs="Times New Roman"/>
          <w:b/>
          <w:bCs/>
          <w:sz w:val="24"/>
          <w:szCs w:val="24"/>
        </w:rPr>
        <w:t>Renewables vs Non-Renewables</w:t>
      </w:r>
      <w:r w:rsidRPr="00EF6CE0">
        <w:rPr>
          <w:rFonts w:ascii="Cambria" w:eastAsia="Arial" w:hAnsi="Cambria" w:cs="Times New Roman"/>
          <w:sz w:val="24"/>
          <w:szCs w:val="24"/>
        </w:rPr>
        <w:t>: Pie charts depict Coal (50.72%) and Natural Gas (30.25%) as the dominant non-renewables.</w:t>
      </w:r>
    </w:p>
    <w:p w14:paraId="07C2FD33" w14:textId="72841027" w:rsidR="00EF6CE0" w:rsidRPr="00EF6CE0" w:rsidRDefault="00EF6CE0" w:rsidP="00EF6CE0">
      <w:pPr>
        <w:pStyle w:val="ListParagraph"/>
        <w:numPr>
          <w:ilvl w:val="0"/>
          <w:numId w:val="5"/>
        </w:numPr>
        <w:ind w:left="426"/>
        <w:jc w:val="both"/>
        <w:rPr>
          <w:rFonts w:ascii="Cambria" w:eastAsia="Arial" w:hAnsi="Cambria" w:cs="Times New Roman"/>
          <w:sz w:val="24"/>
          <w:szCs w:val="24"/>
        </w:rPr>
      </w:pPr>
      <w:r w:rsidRPr="002A4A54">
        <w:rPr>
          <w:rFonts w:ascii="Cambria" w:eastAsia="Arial" w:hAnsi="Cambria" w:cs="Times New Roman"/>
          <w:b/>
          <w:bCs/>
          <w:sz w:val="24"/>
          <w:szCs w:val="24"/>
        </w:rPr>
        <w:t>High Variability in Sources</w:t>
      </w:r>
      <w:r w:rsidRPr="00EF6CE0">
        <w:rPr>
          <w:rFonts w:ascii="Cambria" w:eastAsia="Arial" w:hAnsi="Cambria" w:cs="Times New Roman"/>
          <w:sz w:val="24"/>
          <w:szCs w:val="24"/>
        </w:rPr>
        <w:t>: The standard deviation of contribution is 6.06K TWh, and the variance is 36.75M TWh, indicating wide variation across energy types and countries.</w:t>
      </w:r>
    </w:p>
    <w:p w14:paraId="4D4D8A08" w14:textId="77777777" w:rsidR="00EF6CE0" w:rsidRDefault="00EF6CE0" w:rsidP="00EF6CE0">
      <w:pPr>
        <w:rPr>
          <w:rFonts w:ascii="Cambria" w:eastAsia="Arial" w:hAnsi="Cambria" w:cs="Times New Roman"/>
          <w:sz w:val="24"/>
          <w:szCs w:val="24"/>
        </w:rPr>
      </w:pPr>
    </w:p>
    <w:p w14:paraId="4F8D8965" w14:textId="77777777" w:rsidR="00EF6CE0" w:rsidRDefault="00EF6CE0" w:rsidP="00EF6CE0">
      <w:pPr>
        <w:rPr>
          <w:rFonts w:ascii="Cambria" w:eastAsia="Arial" w:hAnsi="Cambria" w:cs="Times New Roman"/>
          <w:b/>
          <w:bCs/>
          <w:sz w:val="24"/>
          <w:szCs w:val="24"/>
        </w:rPr>
      </w:pPr>
    </w:p>
    <w:p w14:paraId="48F33951" w14:textId="77777777" w:rsidR="00EF6CE0" w:rsidRDefault="00EF6CE0" w:rsidP="00EF6CE0">
      <w:pPr>
        <w:rPr>
          <w:rFonts w:ascii="Cambria" w:eastAsia="Arial" w:hAnsi="Cambria" w:cs="Times New Roman"/>
          <w:b/>
          <w:bCs/>
          <w:sz w:val="24"/>
          <w:szCs w:val="24"/>
        </w:rPr>
      </w:pPr>
    </w:p>
    <w:p w14:paraId="083E66F2" w14:textId="77777777" w:rsidR="00EF6CE0" w:rsidRDefault="00EF6CE0" w:rsidP="00EF6CE0">
      <w:pPr>
        <w:rPr>
          <w:rFonts w:ascii="Cambria" w:eastAsia="Arial" w:hAnsi="Cambria" w:cs="Times New Roman"/>
          <w:b/>
          <w:bCs/>
          <w:sz w:val="24"/>
          <w:szCs w:val="24"/>
        </w:rPr>
      </w:pPr>
    </w:p>
    <w:p w14:paraId="6798FF71" w14:textId="77777777" w:rsidR="00EF6CE0" w:rsidRDefault="00EF6CE0" w:rsidP="00EF6CE0">
      <w:pPr>
        <w:rPr>
          <w:rFonts w:ascii="Cambria" w:eastAsia="Arial" w:hAnsi="Cambria" w:cs="Times New Roman"/>
          <w:b/>
          <w:bCs/>
          <w:sz w:val="24"/>
          <w:szCs w:val="24"/>
        </w:rPr>
      </w:pPr>
    </w:p>
    <w:p w14:paraId="718BE807" w14:textId="77777777" w:rsidR="00EF6CE0" w:rsidRDefault="00EF6CE0" w:rsidP="00EF6CE0">
      <w:pPr>
        <w:rPr>
          <w:rFonts w:ascii="Cambria" w:eastAsia="Arial" w:hAnsi="Cambria" w:cs="Times New Roman"/>
          <w:b/>
          <w:bCs/>
          <w:sz w:val="24"/>
          <w:szCs w:val="24"/>
        </w:rPr>
      </w:pPr>
    </w:p>
    <w:p w14:paraId="09C627D5" w14:textId="77777777" w:rsidR="00EF6CE0" w:rsidRDefault="00EF6CE0" w:rsidP="00EF6CE0">
      <w:pPr>
        <w:rPr>
          <w:rFonts w:ascii="Cambria" w:eastAsia="Arial" w:hAnsi="Cambria" w:cs="Times New Roman"/>
          <w:b/>
          <w:bCs/>
          <w:sz w:val="24"/>
          <w:szCs w:val="24"/>
        </w:rPr>
      </w:pPr>
    </w:p>
    <w:p w14:paraId="06570860" w14:textId="77777777" w:rsidR="00EF6CE0" w:rsidRDefault="00EF6CE0" w:rsidP="00EF6CE0">
      <w:pPr>
        <w:rPr>
          <w:rFonts w:ascii="Cambria" w:eastAsia="Arial" w:hAnsi="Cambria" w:cs="Times New Roman"/>
          <w:b/>
          <w:bCs/>
          <w:sz w:val="24"/>
          <w:szCs w:val="24"/>
        </w:rPr>
      </w:pPr>
    </w:p>
    <w:p w14:paraId="5BF01620" w14:textId="5B7A8541" w:rsidR="00EF6CE0" w:rsidRDefault="00EF6CE0" w:rsidP="00EF6CE0">
      <w:pPr>
        <w:rPr>
          <w:rFonts w:ascii="Cambria" w:eastAsia="Arial" w:hAnsi="Cambria" w:cs="Times New Roman"/>
          <w:b/>
          <w:bCs/>
          <w:sz w:val="24"/>
          <w:szCs w:val="24"/>
        </w:rPr>
      </w:pPr>
      <w:r w:rsidRPr="00EF6CE0">
        <w:rPr>
          <w:rFonts w:ascii="Cambria" w:eastAsia="Arial" w:hAnsi="Cambria" w:cs="Times New Roman"/>
          <w:b/>
          <w:bCs/>
          <w:sz w:val="24"/>
          <w:szCs w:val="24"/>
        </w:rPr>
        <w:t xml:space="preserve">Dashboard </w:t>
      </w:r>
      <w:r>
        <w:rPr>
          <w:rFonts w:ascii="Cambria" w:eastAsia="Arial" w:hAnsi="Cambria" w:cs="Times New Roman"/>
          <w:b/>
          <w:bCs/>
          <w:sz w:val="24"/>
          <w:szCs w:val="24"/>
        </w:rPr>
        <w:t>3</w:t>
      </w:r>
      <w:r w:rsidRPr="00EF6CE0">
        <w:rPr>
          <w:rFonts w:ascii="Cambria" w:eastAsia="Arial" w:hAnsi="Cambria" w:cs="Times New Roman"/>
          <w:b/>
          <w:bCs/>
          <w:sz w:val="24"/>
          <w:szCs w:val="24"/>
        </w:rPr>
        <w:t>: Power Generation – Top 20 Countries</w:t>
      </w:r>
    </w:p>
    <w:p w14:paraId="31D577C0" w14:textId="2A517905" w:rsidR="00EF6CE0" w:rsidRDefault="00EF6CE0" w:rsidP="00EF6CE0">
      <w:pPr>
        <w:rPr>
          <w:rFonts w:ascii="Cambria" w:eastAsia="Arial" w:hAnsi="Cambria" w:cs="Times New Roman"/>
          <w:b/>
          <w:bCs/>
          <w:sz w:val="24"/>
          <w:szCs w:val="24"/>
        </w:rPr>
      </w:pPr>
      <w:r>
        <w:rPr>
          <w:rFonts w:ascii="Cambria" w:eastAsia="Arial" w:hAnsi="Cambria" w:cs="Times New Roman"/>
          <w:b/>
          <w:bCs/>
          <w:noProof/>
          <w:sz w:val="24"/>
          <w:szCs w:val="24"/>
        </w:rPr>
        <w:drawing>
          <wp:inline distT="0" distB="0" distL="0" distR="0" wp14:anchorId="129C78B4" wp14:editId="00432C19">
            <wp:extent cx="5731510" cy="3138170"/>
            <wp:effectExtent l="0" t="0" r="2540" b="5080"/>
            <wp:docPr id="79147647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476472" name="Picture 791476472"/>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3138170"/>
                    </a:xfrm>
                    <a:prstGeom prst="rect">
                      <a:avLst/>
                    </a:prstGeom>
                  </pic:spPr>
                </pic:pic>
              </a:graphicData>
            </a:graphic>
          </wp:inline>
        </w:drawing>
      </w:r>
    </w:p>
    <w:p w14:paraId="5DDBF667" w14:textId="77777777" w:rsidR="002A4A54" w:rsidRDefault="002A4A54" w:rsidP="00EF6CE0">
      <w:pPr>
        <w:rPr>
          <w:rFonts w:ascii="Cambria" w:eastAsia="Arial" w:hAnsi="Cambria" w:cs="Times New Roman"/>
          <w:b/>
          <w:bCs/>
          <w:sz w:val="24"/>
          <w:szCs w:val="24"/>
        </w:rPr>
      </w:pPr>
    </w:p>
    <w:p w14:paraId="0B3F06DD" w14:textId="77777777" w:rsidR="002A4A54" w:rsidRPr="002A4A54" w:rsidRDefault="002A4A54" w:rsidP="002A4A54">
      <w:pPr>
        <w:numPr>
          <w:ilvl w:val="0"/>
          <w:numId w:val="7"/>
        </w:numPr>
        <w:tabs>
          <w:tab w:val="clear" w:pos="720"/>
          <w:tab w:val="num" w:pos="709"/>
        </w:tabs>
        <w:ind w:left="567"/>
        <w:jc w:val="both"/>
        <w:rPr>
          <w:rFonts w:ascii="Cambria" w:eastAsia="Arial" w:hAnsi="Cambria" w:cs="Times New Roman"/>
          <w:sz w:val="24"/>
          <w:szCs w:val="24"/>
        </w:rPr>
      </w:pPr>
      <w:r w:rsidRPr="002A4A54">
        <w:rPr>
          <w:rFonts w:ascii="Cambria" w:eastAsia="Arial" w:hAnsi="Cambria" w:cs="Times New Roman"/>
          <w:b/>
          <w:bCs/>
          <w:sz w:val="24"/>
          <w:szCs w:val="24"/>
        </w:rPr>
        <w:t>Biofuel Contribution</w:t>
      </w:r>
      <w:r w:rsidRPr="002A4A54">
        <w:rPr>
          <w:rFonts w:ascii="Cambria" w:eastAsia="Arial" w:hAnsi="Cambria" w:cs="Times New Roman"/>
          <w:sz w:val="24"/>
          <w:szCs w:val="24"/>
        </w:rPr>
        <w:t>: A total of 1.02K TWh of power is generated from biofuels across the top 20 countries.</w:t>
      </w:r>
    </w:p>
    <w:p w14:paraId="0BF708E8" w14:textId="77777777" w:rsidR="002A4A54" w:rsidRPr="002A4A54" w:rsidRDefault="002A4A54" w:rsidP="002A4A54">
      <w:pPr>
        <w:numPr>
          <w:ilvl w:val="0"/>
          <w:numId w:val="7"/>
        </w:numPr>
        <w:tabs>
          <w:tab w:val="clear" w:pos="720"/>
          <w:tab w:val="num" w:pos="709"/>
        </w:tabs>
        <w:ind w:left="567"/>
        <w:jc w:val="both"/>
        <w:rPr>
          <w:rFonts w:ascii="Cambria" w:eastAsia="Arial" w:hAnsi="Cambria" w:cs="Times New Roman"/>
          <w:sz w:val="24"/>
          <w:szCs w:val="24"/>
        </w:rPr>
      </w:pPr>
      <w:r w:rsidRPr="002A4A54">
        <w:rPr>
          <w:rFonts w:ascii="Cambria" w:eastAsia="Arial" w:hAnsi="Cambria" w:cs="Times New Roman"/>
          <w:b/>
          <w:bCs/>
          <w:sz w:val="24"/>
          <w:szCs w:val="24"/>
        </w:rPr>
        <w:t>Hydropower Dominance</w:t>
      </w:r>
      <w:r w:rsidRPr="002A4A54">
        <w:rPr>
          <w:rFonts w:ascii="Cambria" w:eastAsia="Arial" w:hAnsi="Cambria" w:cs="Times New Roman"/>
          <w:sz w:val="24"/>
          <w:szCs w:val="24"/>
        </w:rPr>
        <w:t>: Hydropower leads the renewable sources with 3.04K TWh, showing its critical role in global energy generation.</w:t>
      </w:r>
    </w:p>
    <w:p w14:paraId="1F1D5DBC" w14:textId="77777777" w:rsidR="002A4A54" w:rsidRPr="002A4A54" w:rsidRDefault="002A4A54" w:rsidP="002A4A54">
      <w:pPr>
        <w:numPr>
          <w:ilvl w:val="0"/>
          <w:numId w:val="7"/>
        </w:numPr>
        <w:tabs>
          <w:tab w:val="clear" w:pos="720"/>
          <w:tab w:val="num" w:pos="709"/>
        </w:tabs>
        <w:ind w:left="567"/>
        <w:jc w:val="both"/>
        <w:rPr>
          <w:rFonts w:ascii="Cambria" w:eastAsia="Arial" w:hAnsi="Cambria" w:cs="Times New Roman"/>
          <w:sz w:val="24"/>
          <w:szCs w:val="24"/>
        </w:rPr>
      </w:pPr>
      <w:r w:rsidRPr="002A4A54">
        <w:rPr>
          <w:rFonts w:ascii="Cambria" w:eastAsia="Arial" w:hAnsi="Cambria" w:cs="Times New Roman"/>
          <w:b/>
          <w:bCs/>
          <w:sz w:val="24"/>
          <w:szCs w:val="24"/>
        </w:rPr>
        <w:t>Solar PV Growth</w:t>
      </w:r>
      <w:r w:rsidRPr="002A4A54">
        <w:rPr>
          <w:rFonts w:ascii="Cambria" w:eastAsia="Arial" w:hAnsi="Cambria" w:cs="Times New Roman"/>
          <w:sz w:val="24"/>
          <w:szCs w:val="24"/>
        </w:rPr>
        <w:t>: Solar photovoltaic power contributes 396.56 TWh, indicating significant adoption across various regions.</w:t>
      </w:r>
    </w:p>
    <w:p w14:paraId="44A1CAA4" w14:textId="77777777" w:rsidR="002A4A54" w:rsidRPr="002A4A54" w:rsidRDefault="002A4A54" w:rsidP="002A4A54">
      <w:pPr>
        <w:numPr>
          <w:ilvl w:val="0"/>
          <w:numId w:val="7"/>
        </w:numPr>
        <w:tabs>
          <w:tab w:val="clear" w:pos="720"/>
          <w:tab w:val="num" w:pos="709"/>
        </w:tabs>
        <w:ind w:left="567"/>
        <w:jc w:val="both"/>
        <w:rPr>
          <w:rFonts w:ascii="Cambria" w:eastAsia="Arial" w:hAnsi="Cambria" w:cs="Times New Roman"/>
          <w:sz w:val="24"/>
          <w:szCs w:val="24"/>
        </w:rPr>
      </w:pPr>
      <w:r w:rsidRPr="002A4A54">
        <w:rPr>
          <w:rFonts w:ascii="Cambria" w:eastAsia="Arial" w:hAnsi="Cambria" w:cs="Times New Roman"/>
          <w:b/>
          <w:bCs/>
          <w:sz w:val="24"/>
          <w:szCs w:val="24"/>
        </w:rPr>
        <w:t>Geothermal Output</w:t>
      </w:r>
      <w:r w:rsidRPr="002A4A54">
        <w:rPr>
          <w:rFonts w:ascii="Cambria" w:eastAsia="Arial" w:hAnsi="Cambria" w:cs="Times New Roman"/>
          <w:sz w:val="24"/>
          <w:szCs w:val="24"/>
        </w:rPr>
        <w:t>: Geothermal energy accounts for 53.34 TWh, which is comparatively lower among renewable types.</w:t>
      </w:r>
    </w:p>
    <w:p w14:paraId="0DE7CB26" w14:textId="77777777" w:rsidR="002A4A54" w:rsidRPr="002A4A54" w:rsidRDefault="002A4A54" w:rsidP="002A4A54">
      <w:pPr>
        <w:numPr>
          <w:ilvl w:val="0"/>
          <w:numId w:val="7"/>
        </w:numPr>
        <w:tabs>
          <w:tab w:val="clear" w:pos="720"/>
          <w:tab w:val="num" w:pos="709"/>
        </w:tabs>
        <w:ind w:left="567"/>
        <w:jc w:val="both"/>
        <w:rPr>
          <w:rFonts w:ascii="Cambria" w:eastAsia="Arial" w:hAnsi="Cambria" w:cs="Times New Roman"/>
          <w:sz w:val="24"/>
          <w:szCs w:val="24"/>
        </w:rPr>
      </w:pPr>
      <w:r w:rsidRPr="002A4A54">
        <w:rPr>
          <w:rFonts w:ascii="Cambria" w:eastAsia="Arial" w:hAnsi="Cambria" w:cs="Times New Roman"/>
          <w:b/>
          <w:bCs/>
          <w:sz w:val="24"/>
          <w:szCs w:val="24"/>
        </w:rPr>
        <w:t>Geographical Spread</w:t>
      </w:r>
      <w:r w:rsidRPr="002A4A54">
        <w:rPr>
          <w:rFonts w:ascii="Cambria" w:eastAsia="Arial" w:hAnsi="Cambria" w:cs="Times New Roman"/>
          <w:sz w:val="24"/>
          <w:szCs w:val="24"/>
        </w:rPr>
        <w:t>: The world map displays the top 20 countries in renewable energy generation, highlighting China, the US, Brazil, and India as major contributors.</w:t>
      </w:r>
    </w:p>
    <w:p w14:paraId="0F8A3583" w14:textId="77777777" w:rsidR="00EF6CE0" w:rsidRPr="00EF6CE0" w:rsidRDefault="00EF6CE0" w:rsidP="00EF6CE0">
      <w:pPr>
        <w:rPr>
          <w:rFonts w:ascii="Cambria" w:eastAsia="Arial" w:hAnsi="Cambria" w:cs="Times New Roman"/>
          <w:b/>
          <w:bCs/>
          <w:sz w:val="24"/>
          <w:szCs w:val="24"/>
        </w:rPr>
      </w:pPr>
    </w:p>
    <w:sectPr w:rsidR="00EF6CE0" w:rsidRPr="00EF6CE0">
      <w:pgSz w:w="11906" w:h="16838"/>
      <w:pgMar w:top="1440" w:right="1440" w:bottom="1440" w:left="1440" w:header="708" w:footer="708"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charset w:val="00"/>
    <w:family w:val="auto"/>
    <w:pitch w:val="default"/>
    <w:embedRegular r:id="rId1" w:fontKey="{84328192-6BF1-4057-B26E-0A7718CCBA3C}"/>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67CB5CE7-3694-4DB0-8640-EDA876F63C60}"/>
    <w:embedBold r:id="rId3" w:fontKey="{CD32FFA9-3CBD-45D6-B9CB-969914A59AB5}"/>
  </w:font>
  <w:font w:name="Georgia">
    <w:panose1 w:val="02040502050405020303"/>
    <w:charset w:val="00"/>
    <w:family w:val="roman"/>
    <w:pitch w:val="variable"/>
    <w:sig w:usb0="00000287" w:usb1="00000000" w:usb2="00000000" w:usb3="00000000" w:csb0="0000009F" w:csb1="00000000"/>
    <w:embedRegular r:id="rId4" w:fontKey="{CB4DBA6C-953D-4095-8CCE-29871116EEF9}"/>
    <w:embedItalic r:id="rId5" w:fontKey="{FDECA595-7DCF-48DC-8B88-821BF56A5619}"/>
  </w:font>
  <w:font w:name="Cambria">
    <w:panose1 w:val="02040503050406030204"/>
    <w:charset w:val="00"/>
    <w:family w:val="roman"/>
    <w:pitch w:val="variable"/>
    <w:sig w:usb0="E00006FF" w:usb1="420024FF" w:usb2="02000000" w:usb3="00000000" w:csb0="0000019F" w:csb1="00000000"/>
    <w:embedRegular r:id="rId6" w:fontKey="{65209B2E-9738-44C6-843E-FB986702F934}"/>
    <w:embedBold r:id="rId7" w:fontKey="{D76C1D70-18F7-4E43-A204-16D2972C8F75}"/>
  </w:font>
  <w:font w:name="Calibri Light">
    <w:panose1 w:val="020F0302020204030204"/>
    <w:charset w:val="00"/>
    <w:family w:val="swiss"/>
    <w:pitch w:val="variable"/>
    <w:sig w:usb0="E4002EFF" w:usb1="C200247B" w:usb2="00000009" w:usb3="00000000" w:csb0="000001FF" w:csb1="00000000"/>
    <w:embedRegular r:id="rId8" w:fontKey="{AA18A67B-F202-406B-8073-F0949FFAA418}"/>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30FF5D56"/>
    <w:multiLevelType w:val="multilevel"/>
    <w:tmpl w:val="CBBC8C36"/>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 w15:restartNumberingAfterBreak="0">
    <w:nsid w:val="40FC3FC2"/>
    <w:multiLevelType w:val="hybridMultilevel"/>
    <w:tmpl w:val="86D4FD6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44F94CDE"/>
    <w:multiLevelType w:val="multilevel"/>
    <w:tmpl w:val="47DE6F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45BB4EBE"/>
    <w:multiLevelType w:val="multilevel"/>
    <w:tmpl w:val="4FCA62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480F3672"/>
    <w:multiLevelType w:val="hybridMultilevel"/>
    <w:tmpl w:val="CC4C0A4A"/>
    <w:lvl w:ilvl="0" w:tplc="40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55D356A1"/>
    <w:multiLevelType w:val="hybridMultilevel"/>
    <w:tmpl w:val="97C61D40"/>
    <w:lvl w:ilvl="0" w:tplc="7B9C93C6">
      <w:numFmt w:val="bullet"/>
      <w:lvlText w:val=""/>
      <w:lvlJc w:val="left"/>
      <w:pPr>
        <w:ind w:left="720" w:hanging="360"/>
      </w:pPr>
      <w:rPr>
        <w:rFonts w:ascii="Arial" w:eastAsia="Arial" w:hAnsi="Arial" w:cs="Aria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55EC77F1"/>
    <w:multiLevelType w:val="hybridMultilevel"/>
    <w:tmpl w:val="5FD0252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561020336">
    <w:abstractNumId w:val="0"/>
  </w:num>
  <w:num w:numId="2" w16cid:durableId="597759194">
    <w:abstractNumId w:val="2"/>
  </w:num>
  <w:num w:numId="3" w16cid:durableId="320163403">
    <w:abstractNumId w:val="6"/>
  </w:num>
  <w:num w:numId="4" w16cid:durableId="1591423987">
    <w:abstractNumId w:val="5"/>
  </w:num>
  <w:num w:numId="5" w16cid:durableId="2147383416">
    <w:abstractNumId w:val="4"/>
  </w:num>
  <w:num w:numId="6" w16cid:durableId="204409330">
    <w:abstractNumId w:val="1"/>
  </w:num>
  <w:num w:numId="7" w16cid:durableId="186509803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9755A"/>
    <w:rsid w:val="000C3793"/>
    <w:rsid w:val="0017660E"/>
    <w:rsid w:val="00293C5D"/>
    <w:rsid w:val="002A4A54"/>
    <w:rsid w:val="008B4B0F"/>
    <w:rsid w:val="00933D90"/>
    <w:rsid w:val="00AD37FB"/>
    <w:rsid w:val="00D043A9"/>
    <w:rsid w:val="00D3353A"/>
    <w:rsid w:val="00E47DFC"/>
    <w:rsid w:val="00EF6CE0"/>
    <w:rsid w:val="00F9755A"/>
    <w:rsid w:val="00FF6E1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CA6692"/>
  <w15:docId w15:val="{3FAF9F86-E290-4697-9FCA-4EA77CB7E0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E317E"/>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styleId="Hyperlink">
    <w:name w:val="Hyperlink"/>
    <w:basedOn w:val="DefaultParagraphFont"/>
    <w:uiPriority w:val="99"/>
    <w:unhideWhenUsed/>
    <w:rsid w:val="007E317E"/>
    <w:rPr>
      <w:color w:val="0563C1" w:themeColor="hyperlink"/>
      <w:u w:val="single"/>
    </w:rPr>
  </w:style>
  <w:style w:type="paragraph" w:styleId="ListParagraph">
    <w:name w:val="List Paragraph"/>
    <w:basedOn w:val="Normal"/>
    <w:uiPriority w:val="1"/>
    <w:qFormat/>
    <w:rsid w:val="007E317E"/>
    <w:pPr>
      <w:ind w:left="720"/>
      <w:contextualSpacing/>
    </w:p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6802555">
      <w:bodyDiv w:val="1"/>
      <w:marLeft w:val="0"/>
      <w:marRight w:val="0"/>
      <w:marTop w:val="0"/>
      <w:marBottom w:val="0"/>
      <w:divBdr>
        <w:top w:val="none" w:sz="0" w:space="0" w:color="auto"/>
        <w:left w:val="none" w:sz="0" w:space="0" w:color="auto"/>
        <w:bottom w:val="none" w:sz="0" w:space="0" w:color="auto"/>
        <w:right w:val="none" w:sz="0" w:space="0" w:color="auto"/>
      </w:divBdr>
    </w:div>
    <w:div w:id="179590311">
      <w:bodyDiv w:val="1"/>
      <w:marLeft w:val="0"/>
      <w:marRight w:val="0"/>
      <w:marTop w:val="0"/>
      <w:marBottom w:val="0"/>
      <w:divBdr>
        <w:top w:val="none" w:sz="0" w:space="0" w:color="auto"/>
        <w:left w:val="none" w:sz="0" w:space="0" w:color="auto"/>
        <w:bottom w:val="none" w:sz="0" w:space="0" w:color="auto"/>
        <w:right w:val="none" w:sz="0" w:space="0" w:color="auto"/>
      </w:divBdr>
    </w:div>
    <w:div w:id="584610015">
      <w:bodyDiv w:val="1"/>
      <w:marLeft w:val="0"/>
      <w:marRight w:val="0"/>
      <w:marTop w:val="0"/>
      <w:marBottom w:val="0"/>
      <w:divBdr>
        <w:top w:val="none" w:sz="0" w:space="0" w:color="auto"/>
        <w:left w:val="none" w:sz="0" w:space="0" w:color="auto"/>
        <w:bottom w:val="none" w:sz="0" w:space="0" w:color="auto"/>
        <w:right w:val="none" w:sz="0" w:space="0" w:color="auto"/>
      </w:divBdr>
    </w:div>
    <w:div w:id="632295073">
      <w:bodyDiv w:val="1"/>
      <w:marLeft w:val="0"/>
      <w:marRight w:val="0"/>
      <w:marTop w:val="0"/>
      <w:marBottom w:val="0"/>
      <w:divBdr>
        <w:top w:val="none" w:sz="0" w:space="0" w:color="auto"/>
        <w:left w:val="none" w:sz="0" w:space="0" w:color="auto"/>
        <w:bottom w:val="none" w:sz="0" w:space="0" w:color="auto"/>
        <w:right w:val="none" w:sz="0" w:space="0" w:color="auto"/>
      </w:divBdr>
    </w:div>
    <w:div w:id="682242700">
      <w:bodyDiv w:val="1"/>
      <w:marLeft w:val="0"/>
      <w:marRight w:val="0"/>
      <w:marTop w:val="0"/>
      <w:marBottom w:val="0"/>
      <w:divBdr>
        <w:top w:val="none" w:sz="0" w:space="0" w:color="auto"/>
        <w:left w:val="none" w:sz="0" w:space="0" w:color="auto"/>
        <w:bottom w:val="none" w:sz="0" w:space="0" w:color="auto"/>
        <w:right w:val="none" w:sz="0" w:space="0" w:color="auto"/>
      </w:divBdr>
    </w:div>
    <w:div w:id="823861945">
      <w:bodyDiv w:val="1"/>
      <w:marLeft w:val="0"/>
      <w:marRight w:val="0"/>
      <w:marTop w:val="0"/>
      <w:marBottom w:val="0"/>
      <w:divBdr>
        <w:top w:val="none" w:sz="0" w:space="0" w:color="auto"/>
        <w:left w:val="none" w:sz="0" w:space="0" w:color="auto"/>
        <w:bottom w:val="none" w:sz="0" w:space="0" w:color="auto"/>
        <w:right w:val="none" w:sz="0" w:space="0" w:color="auto"/>
      </w:divBdr>
    </w:div>
    <w:div w:id="1440487447">
      <w:bodyDiv w:val="1"/>
      <w:marLeft w:val="0"/>
      <w:marRight w:val="0"/>
      <w:marTop w:val="0"/>
      <w:marBottom w:val="0"/>
      <w:divBdr>
        <w:top w:val="none" w:sz="0" w:space="0" w:color="auto"/>
        <w:left w:val="none" w:sz="0" w:space="0" w:color="auto"/>
        <w:bottom w:val="none" w:sz="0" w:space="0" w:color="auto"/>
        <w:right w:val="none" w:sz="0" w:space="0" w:color="auto"/>
      </w:divBdr>
    </w:div>
    <w:div w:id="146931827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3" Type="http://schemas.openxmlformats.org/officeDocument/2006/relationships/styles" Target="styles.xml"/><Relationship Id="rId7" Type="http://schemas.openxmlformats.org/officeDocument/2006/relationships/image" Target="media/image2.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5" Type="http://schemas.openxmlformats.org/officeDocument/2006/relationships/webSettings" Target="webSettings.xml"/><Relationship Id="rId1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A+WDxcuUify8Cnrp+LC/CCTGJVw==">CgMxLjA4AHIhMTdFaC1wTlF3SWNHN0dyNU1DWFA0bENxckc4RTFIRnRY</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24</TotalTime>
  <Pages>3</Pages>
  <Words>379</Words>
  <Characters>2162</Characters>
  <Application>Microsoft Office Word</Application>
  <DocSecurity>0</DocSecurity>
  <Lines>18</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SmarBridge ML</dc:creator>
  <cp:lastModifiedBy>SONTA RAMESH</cp:lastModifiedBy>
  <cp:revision>8</cp:revision>
  <dcterms:created xsi:type="dcterms:W3CDTF">2024-01-13T08:54:00Z</dcterms:created>
  <dcterms:modified xsi:type="dcterms:W3CDTF">2025-06-26T06:24:00Z</dcterms:modified>
</cp:coreProperties>
</file>